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827666" w:rsidRDefault="00CD07FD" w:rsidP="00CD07FD">
      <w:pPr>
        <w:pStyle w:val="Titre"/>
      </w:pPr>
      <w:r>
        <w:t>Approche documentaire : Effets de l’</w:t>
      </w:r>
      <w:proofErr w:type="spellStart"/>
      <w:r>
        <w:t>ionosphere</w:t>
      </w:r>
      <w:proofErr w:type="spellEnd"/>
      <w:r>
        <w:t xml:space="preserve"> sur les télécommunications</w:t>
      </w:r>
    </w:p>
    <w:p w:rsidR="005C20B3" w:rsidRDefault="005C20B3" w:rsidP="005C20B3"/>
    <w:p w:rsidR="005C20B3" w:rsidRDefault="005C20B3" w:rsidP="005C20B3">
      <w:r>
        <w:t>05/12/2020</w:t>
      </w:r>
    </w:p>
    <w:p w:rsidR="005C20B3" w:rsidRPr="005C20B3" w:rsidRDefault="005C20B3" w:rsidP="005C20B3"/>
    <w:p w:rsidR="00CD07FD" w:rsidRDefault="00CD07FD" w:rsidP="00CD07FD"/>
    <w:p w:rsidR="00A26ACE" w:rsidRDefault="00A26ACE" w:rsidP="00CD07FD"/>
    <w:p w:rsidR="00A26ACE" w:rsidRDefault="00A26ACE" w:rsidP="00CD07FD">
      <w:r>
        <w:rPr>
          <w:noProof/>
        </w:rPr>
        <w:drawing>
          <wp:inline distT="0" distB="0" distL="0" distR="0">
            <wp:extent cx="5756910" cy="4122420"/>
            <wp:effectExtent l="0" t="0" r="0" b="508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7FD" w:rsidRDefault="00CD07FD" w:rsidP="00CD07FD"/>
    <w:p w:rsidR="00CD07FD" w:rsidRDefault="00CD07FD" w:rsidP="00CD07FD">
      <w:pPr>
        <w:pStyle w:val="Titre1"/>
      </w:pPr>
      <w:r w:rsidRPr="00CD07FD">
        <w:t>Structure de l’</w:t>
      </w:r>
      <w:r w:rsidR="008A6AF0" w:rsidRPr="00CD07FD">
        <w:t>atmosphère</w:t>
      </w:r>
    </w:p>
    <w:p w:rsidR="00CD07FD" w:rsidRDefault="00CD07FD" w:rsidP="00CD07FD"/>
    <w:p w:rsidR="00CD07FD" w:rsidRDefault="00CD07FD" w:rsidP="00CD07FD">
      <w:pPr>
        <w:pStyle w:val="Titre2"/>
      </w:pPr>
    </w:p>
    <w:p w:rsidR="00CD07FD" w:rsidRDefault="00CD07FD" w:rsidP="00CD07FD">
      <w:r>
        <w:t>Le Rayonnement solaire constitué de photons X ou UV provoque l’ionisation des couches supérieures de l’atmosphère entre 80 km et 800 km d’altitude.</w:t>
      </w:r>
    </w:p>
    <w:p w:rsidR="00CD07FD" w:rsidRDefault="00CD07FD" w:rsidP="00CD07FD">
      <w:r>
        <w:t xml:space="preserve">Ce processus d’ionisation provoque la dissociation des molécules neutre X en ions positifs X+ et électrons e-. Les électrons ionisés sont libres et très mobiles tandis que les ions X+ sont lourds. On a donc un plasma qui est globalement neutre mais qui localement peut être chargé. Le processus d’ionisation est plus efficace je jour que la nuit puisque les couches d’atmosphère sont directement </w:t>
      </w:r>
      <w:proofErr w:type="gramStart"/>
      <w:r>
        <w:t>exposé</w:t>
      </w:r>
      <w:proofErr w:type="gramEnd"/>
      <w:r>
        <w:t xml:space="preserve"> au flux de photons solaires alors que la nuit, la terre </w:t>
      </w:r>
      <w:proofErr w:type="spellStart"/>
      <w:r>
        <w:t>oculte</w:t>
      </w:r>
      <w:proofErr w:type="spellEnd"/>
      <w:r>
        <w:t xml:space="preserve"> le flux de photons solaire. Ainsi la densité de plasma augmente le jour et diminue la nuit.</w:t>
      </w:r>
    </w:p>
    <w:p w:rsidR="00CD07FD" w:rsidRDefault="00CD07FD" w:rsidP="00CD07FD"/>
    <w:p w:rsidR="00CD07FD" w:rsidRDefault="00CD07FD" w:rsidP="00CD07FD">
      <w:pPr>
        <w:pStyle w:val="Titre2"/>
      </w:pPr>
    </w:p>
    <w:p w:rsidR="00CD07FD" w:rsidRDefault="00CD07FD" w:rsidP="00CD07FD">
      <w:r>
        <w:t>La densité d’atmosphère</w:t>
      </w:r>
      <w:r>
        <w:br/>
      </w:r>
      <m:oMathPara>
        <m:oMath>
          <m:r>
            <w:rPr>
              <w:rFonts w:ascii="Cambria Math" w:hAnsi="Cambria Math"/>
            </w:rPr>
            <m:t>ρ=ρ0exp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-h</m:t>
              </m:r>
              <m:r>
                <m:rPr>
                  <m:lit/>
                </m:rPr>
                <w:rPr>
                  <w:rFonts w:ascii="Cambria Math" w:hAnsi="Cambria Math"/>
                </w:rPr>
                <m:t>/</m:t>
              </m:r>
              <m:r>
                <w:rPr>
                  <w:rFonts w:ascii="Cambria Math" w:hAnsi="Cambria Math"/>
                </w:rPr>
                <m:t>h0</m:t>
              </m:r>
            </m:e>
          </m:d>
          <m:r>
            <w:rPr>
              <w:rFonts w:eastAsiaTheme="minorEastAsia"/>
            </w:rPr>
            <w:br/>
          </m:r>
        </m:oMath>
      </m:oMathPara>
      <w:r>
        <w:rPr>
          <w:rFonts w:eastAsiaTheme="minorEastAsia"/>
        </w:rPr>
        <w:t xml:space="preserve"> </w:t>
      </w:r>
      <w:r>
        <w:t xml:space="preserve">est d’autant plus grande que de l’altitude h est </w:t>
      </w:r>
      <w:proofErr w:type="gramStart"/>
      <w:r>
        <w:t>basse  (</w:t>
      </w:r>
      <w:proofErr w:type="gramEnd"/>
      <w:r>
        <w:t>h</w:t>
      </w:r>
      <w:r w:rsidRPr="00CD07FD">
        <w:rPr>
          <w:vertAlign w:val="subscript"/>
        </w:rPr>
        <w:t>0</w:t>
      </w:r>
      <w:r>
        <w:t>~8km) . La couche D étant la plus basse, elle absorbe donc plus le rayonnement solaire.</w:t>
      </w:r>
    </w:p>
    <w:p w:rsidR="00CD07FD" w:rsidRDefault="00CD07FD" w:rsidP="00CD07FD"/>
    <w:p w:rsidR="00CD07FD" w:rsidRDefault="00CD07FD" w:rsidP="00CD07FD">
      <w:pPr>
        <w:pStyle w:val="Titre2"/>
      </w:pPr>
    </w:p>
    <w:p w:rsidR="00A26ACE" w:rsidRDefault="00A26ACE" w:rsidP="00A26ACE"/>
    <w:p w:rsidR="00A26ACE" w:rsidRDefault="00A26ACE" w:rsidP="00A26ACE">
      <w:r>
        <w:t>La couche F est celle qui a la plus grande variabilité jour/nuit et saisonnière de densité électronique.</w:t>
      </w:r>
    </w:p>
    <w:p w:rsidR="008A6AF0" w:rsidRPr="00A26ACE" w:rsidRDefault="008A6AF0" w:rsidP="00A26ACE">
      <w:r>
        <w:t>La couche E a une variation jour / nuit.</w:t>
      </w:r>
    </w:p>
    <w:p w:rsidR="00A26ACE" w:rsidRDefault="00A26ACE" w:rsidP="00A26ACE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964"/>
        <w:gridCol w:w="1701"/>
        <w:gridCol w:w="1985"/>
        <w:gridCol w:w="1406"/>
      </w:tblGrid>
      <w:tr w:rsidR="00A26ACE" w:rsidTr="00A26ACE">
        <w:tc>
          <w:tcPr>
            <w:tcW w:w="3964" w:type="dxa"/>
          </w:tcPr>
          <w:p w:rsidR="00A26ACE" w:rsidRDefault="00A26ACE" w:rsidP="00A26ACE"/>
        </w:tc>
        <w:tc>
          <w:tcPr>
            <w:tcW w:w="1701" w:type="dxa"/>
          </w:tcPr>
          <w:p w:rsidR="00A26ACE" w:rsidRDefault="00A26ACE" w:rsidP="00A26ACE">
            <w:r>
              <w:t>D</w:t>
            </w:r>
          </w:p>
        </w:tc>
        <w:tc>
          <w:tcPr>
            <w:tcW w:w="1985" w:type="dxa"/>
          </w:tcPr>
          <w:p w:rsidR="00A26ACE" w:rsidRDefault="00A26ACE" w:rsidP="00A26ACE">
            <w:r>
              <w:t>E</w:t>
            </w:r>
          </w:p>
        </w:tc>
        <w:tc>
          <w:tcPr>
            <w:tcW w:w="1406" w:type="dxa"/>
          </w:tcPr>
          <w:p w:rsidR="00A26ACE" w:rsidRDefault="00A26ACE" w:rsidP="00A26ACE">
            <w:r>
              <w:t>F</w:t>
            </w:r>
          </w:p>
        </w:tc>
      </w:tr>
      <w:tr w:rsidR="00A26ACE" w:rsidTr="00A26ACE">
        <w:tc>
          <w:tcPr>
            <w:tcW w:w="3964" w:type="dxa"/>
          </w:tcPr>
          <w:p w:rsidR="00A26ACE" w:rsidRDefault="00A26ACE" w:rsidP="00A26ACE">
            <w:r>
              <w:t>Altitude</w:t>
            </w:r>
          </w:p>
        </w:tc>
        <w:tc>
          <w:tcPr>
            <w:tcW w:w="1701" w:type="dxa"/>
          </w:tcPr>
          <w:p w:rsidR="00A26ACE" w:rsidRDefault="00A26ACE" w:rsidP="00A26ACE">
            <w:r>
              <w:t>80-100 km</w:t>
            </w:r>
          </w:p>
        </w:tc>
        <w:tc>
          <w:tcPr>
            <w:tcW w:w="1985" w:type="dxa"/>
          </w:tcPr>
          <w:p w:rsidR="00A26ACE" w:rsidRDefault="00A26ACE" w:rsidP="00A26ACE">
            <w:r>
              <w:t>100-150 km</w:t>
            </w:r>
          </w:p>
        </w:tc>
        <w:tc>
          <w:tcPr>
            <w:tcW w:w="1406" w:type="dxa"/>
          </w:tcPr>
          <w:p w:rsidR="00A26ACE" w:rsidRDefault="00A26ACE" w:rsidP="00A26ACE">
            <w:proofErr w:type="gramStart"/>
            <w:r>
              <w:t>h</w:t>
            </w:r>
            <w:proofErr w:type="gramEnd"/>
            <w:r>
              <w:t>&gt;150km</w:t>
            </w:r>
          </w:p>
        </w:tc>
      </w:tr>
      <w:tr w:rsidR="00A26ACE" w:rsidTr="00A26ACE">
        <w:tc>
          <w:tcPr>
            <w:tcW w:w="3964" w:type="dxa"/>
          </w:tcPr>
          <w:p w:rsidR="00A26ACE" w:rsidRDefault="00A26ACE" w:rsidP="00A26ACE">
            <w:r>
              <w:t>Densité électronique jour</w:t>
            </w:r>
          </w:p>
        </w:tc>
        <w:tc>
          <w:tcPr>
            <w:tcW w:w="1701" w:type="dxa"/>
          </w:tcPr>
          <w:p w:rsidR="00A26ACE" w:rsidRDefault="00A26ACE" w:rsidP="00A26ACE">
            <w:r>
              <w:t xml:space="preserve">&lt; </w:t>
            </w:r>
            <w:r>
              <w:t>10</w:t>
            </w:r>
            <w:r w:rsidRPr="00A26ACE">
              <w:rPr>
                <w:vertAlign w:val="superscript"/>
              </w:rPr>
              <w:t>9</w:t>
            </w:r>
          </w:p>
        </w:tc>
        <w:tc>
          <w:tcPr>
            <w:tcW w:w="1985" w:type="dxa"/>
          </w:tcPr>
          <w:p w:rsidR="00A26ACE" w:rsidRDefault="00A26ACE" w:rsidP="00A26ACE">
            <w:r>
              <w:t>10</w:t>
            </w:r>
            <w:r w:rsidRPr="00A26ACE">
              <w:rPr>
                <w:vertAlign w:val="superscript"/>
              </w:rPr>
              <w:t>11</w:t>
            </w:r>
          </w:p>
        </w:tc>
        <w:tc>
          <w:tcPr>
            <w:tcW w:w="1406" w:type="dxa"/>
          </w:tcPr>
          <w:p w:rsidR="00A26ACE" w:rsidRDefault="00A26ACE" w:rsidP="00A26ACE">
            <w:r>
              <w:t>3. 10</w:t>
            </w:r>
            <w:r w:rsidRPr="00A26ACE">
              <w:rPr>
                <w:vertAlign w:val="superscript"/>
              </w:rPr>
              <w:t>11</w:t>
            </w:r>
            <w:r>
              <w:t>-2.10</w:t>
            </w:r>
            <w:r w:rsidRPr="00A26ACE">
              <w:rPr>
                <w:vertAlign w:val="superscript"/>
              </w:rPr>
              <w:t>1</w:t>
            </w:r>
            <w:r>
              <w:rPr>
                <w:vertAlign w:val="superscript"/>
              </w:rPr>
              <w:t>2</w:t>
            </w:r>
          </w:p>
        </w:tc>
      </w:tr>
      <w:tr w:rsidR="00A26ACE" w:rsidTr="00A26ACE">
        <w:tc>
          <w:tcPr>
            <w:tcW w:w="3964" w:type="dxa"/>
          </w:tcPr>
          <w:p w:rsidR="00A26ACE" w:rsidRDefault="00A26ACE" w:rsidP="00A26ACE">
            <w:r>
              <w:t xml:space="preserve">Densité électronique </w:t>
            </w:r>
            <w:r>
              <w:t>nuit</w:t>
            </w:r>
          </w:p>
        </w:tc>
        <w:tc>
          <w:tcPr>
            <w:tcW w:w="1701" w:type="dxa"/>
          </w:tcPr>
          <w:p w:rsidR="00A26ACE" w:rsidRDefault="00A26ACE" w:rsidP="00A26ACE">
            <w:r>
              <w:t>&lt; 10</w:t>
            </w:r>
            <w:r w:rsidRPr="00A26ACE">
              <w:rPr>
                <w:vertAlign w:val="superscript"/>
              </w:rPr>
              <w:t>9</w:t>
            </w:r>
          </w:p>
        </w:tc>
        <w:tc>
          <w:tcPr>
            <w:tcW w:w="1985" w:type="dxa"/>
          </w:tcPr>
          <w:p w:rsidR="00A26ACE" w:rsidRDefault="00A26ACE" w:rsidP="00A26ACE">
            <w:r>
              <w:t>10</w:t>
            </w:r>
            <w:r w:rsidR="008A6AF0" w:rsidRPr="008A6AF0">
              <w:rPr>
                <w:vertAlign w:val="superscript"/>
              </w:rPr>
              <w:t>9</w:t>
            </w:r>
          </w:p>
        </w:tc>
        <w:tc>
          <w:tcPr>
            <w:tcW w:w="1406" w:type="dxa"/>
          </w:tcPr>
          <w:p w:rsidR="00A26ACE" w:rsidRDefault="00A26ACE" w:rsidP="00A26ACE">
            <w:r>
              <w:t>10</w:t>
            </w:r>
            <w:r w:rsidRPr="00A26ACE">
              <w:rPr>
                <w:vertAlign w:val="superscript"/>
              </w:rPr>
              <w:t>11</w:t>
            </w:r>
            <w:r>
              <w:t>-</w:t>
            </w:r>
            <w:r>
              <w:t>3.10</w:t>
            </w:r>
            <w:r w:rsidRPr="00A26ACE">
              <w:rPr>
                <w:vertAlign w:val="superscript"/>
              </w:rPr>
              <w:t>11</w:t>
            </w:r>
          </w:p>
        </w:tc>
      </w:tr>
      <w:tr w:rsidR="00A26ACE" w:rsidTr="00A26ACE">
        <w:tc>
          <w:tcPr>
            <w:tcW w:w="3964" w:type="dxa"/>
          </w:tcPr>
          <w:p w:rsidR="00A26ACE" w:rsidRDefault="00A26ACE" w:rsidP="00A26ACE">
            <w:r>
              <w:t>Fréquence Plasma maximale</w:t>
            </w:r>
          </w:p>
        </w:tc>
        <w:tc>
          <w:tcPr>
            <w:tcW w:w="1701" w:type="dxa"/>
          </w:tcPr>
          <w:p w:rsidR="00A26ACE" w:rsidRDefault="00A26ACE" w:rsidP="00A26ACE">
            <w:r>
              <w:t>284 kHz</w:t>
            </w:r>
          </w:p>
        </w:tc>
        <w:tc>
          <w:tcPr>
            <w:tcW w:w="1985" w:type="dxa"/>
          </w:tcPr>
          <w:p w:rsidR="00A26ACE" w:rsidRDefault="00A26ACE" w:rsidP="00A26ACE">
            <w:r>
              <w:t>2.84 MHz</w:t>
            </w:r>
          </w:p>
        </w:tc>
        <w:tc>
          <w:tcPr>
            <w:tcW w:w="1406" w:type="dxa"/>
          </w:tcPr>
          <w:p w:rsidR="00A26ACE" w:rsidRDefault="00A26ACE" w:rsidP="00A26ACE">
            <w:r>
              <w:t>12.7 MHz</w:t>
            </w:r>
          </w:p>
        </w:tc>
      </w:tr>
      <w:tr w:rsidR="00A26ACE" w:rsidTr="00A26ACE">
        <w:tc>
          <w:tcPr>
            <w:tcW w:w="3964" w:type="dxa"/>
          </w:tcPr>
          <w:p w:rsidR="00A26ACE" w:rsidRDefault="00A26ACE" w:rsidP="00A26ACE">
            <w:r>
              <w:t>Rôle principal de la couche</w:t>
            </w:r>
          </w:p>
        </w:tc>
        <w:tc>
          <w:tcPr>
            <w:tcW w:w="1701" w:type="dxa"/>
          </w:tcPr>
          <w:p w:rsidR="00A26ACE" w:rsidRDefault="008A6AF0" w:rsidP="00A26ACE">
            <w:proofErr w:type="spellStart"/>
            <w:r>
              <w:t>Reflexion</w:t>
            </w:r>
            <w:proofErr w:type="spellEnd"/>
            <w:r>
              <w:t xml:space="preserve"> grandes ondes et TSF Marconi</w:t>
            </w:r>
          </w:p>
        </w:tc>
        <w:tc>
          <w:tcPr>
            <w:tcW w:w="1985" w:type="dxa"/>
          </w:tcPr>
          <w:p w:rsidR="00A26ACE" w:rsidRDefault="008A6AF0" w:rsidP="00A26ACE">
            <w:r>
              <w:t>Radio amateur</w:t>
            </w:r>
          </w:p>
        </w:tc>
        <w:tc>
          <w:tcPr>
            <w:tcW w:w="1406" w:type="dxa"/>
          </w:tcPr>
          <w:p w:rsidR="00A26ACE" w:rsidRDefault="008A6AF0" w:rsidP="00A26ACE">
            <w:r>
              <w:t>Bande FM</w:t>
            </w:r>
          </w:p>
        </w:tc>
      </w:tr>
    </w:tbl>
    <w:p w:rsidR="00A26ACE" w:rsidRPr="00A26ACE" w:rsidRDefault="00A26ACE" w:rsidP="00A26ACE"/>
    <w:p w:rsidR="00CD07FD" w:rsidRPr="00CD07FD" w:rsidRDefault="00CD07FD" w:rsidP="00CD07FD"/>
    <w:p w:rsidR="00CD07FD" w:rsidRDefault="00CD07FD" w:rsidP="0091395B">
      <w:pPr>
        <w:pStyle w:val="Titre2"/>
      </w:pPr>
    </w:p>
    <w:p w:rsidR="0091395B" w:rsidRDefault="0091395B" w:rsidP="0091395B">
      <w:pPr>
        <w:rPr>
          <w:vertAlign w:val="subscript"/>
        </w:rPr>
      </w:pPr>
      <w:r>
        <w:t xml:space="preserve">Démontré la semaine </w:t>
      </w:r>
      <w:proofErr w:type="gramStart"/>
      <w:r>
        <w:t>dernière  n</w:t>
      </w:r>
      <w:proofErr w:type="gramEnd"/>
      <w:r>
        <w:t xml:space="preserve"> = c/</w:t>
      </w:r>
      <w:proofErr w:type="spellStart"/>
      <w:r>
        <w:t>v</w:t>
      </w:r>
      <w:r w:rsidRPr="0091395B">
        <w:rPr>
          <w:vertAlign w:val="subscript"/>
        </w:rPr>
        <w:t>phase</w:t>
      </w:r>
      <w:proofErr w:type="spellEnd"/>
    </w:p>
    <w:p w:rsidR="0091395B" w:rsidRDefault="0091395B" w:rsidP="0091395B">
      <w:pPr>
        <w:rPr>
          <w:vertAlign w:val="subscript"/>
        </w:rPr>
      </w:pPr>
    </w:p>
    <w:p w:rsidR="0091395B" w:rsidRPr="0091395B" w:rsidRDefault="0091395B" w:rsidP="0091395B">
      <w:proofErr w:type="spellStart"/>
      <w:r>
        <w:t>Equation</w:t>
      </w:r>
      <w:proofErr w:type="spellEnd"/>
      <w:r>
        <w:t xml:space="preserve"> fondamentale de la dynamique sur un </w:t>
      </w:r>
      <w:proofErr w:type="spellStart"/>
      <w:r>
        <w:t>electron</w:t>
      </w:r>
      <w:proofErr w:type="spellEnd"/>
      <w:r>
        <w:t xml:space="preserve"> libre excité par une onde </w:t>
      </w:r>
      <w:proofErr w:type="spellStart"/>
      <w:r>
        <w:t>électromagétique</w:t>
      </w:r>
      <w:proofErr w:type="spellEnd"/>
      <w:r>
        <w:t xml:space="preserve"> qui </w:t>
      </w:r>
      <w:proofErr w:type="spellStart"/>
      <w:r>
        <w:t>obeit</w:t>
      </w:r>
      <w:proofErr w:type="spellEnd"/>
      <w:r>
        <w:t xml:space="preserve"> aux </w:t>
      </w:r>
      <w:proofErr w:type="spellStart"/>
      <w:r>
        <w:t>equations</w:t>
      </w:r>
      <w:proofErr w:type="spellEnd"/>
      <w:r>
        <w:t xml:space="preserve"> de Maxwell (celles avec les rotationnels).</w:t>
      </w:r>
    </w:p>
    <w:p w:rsidR="0091395B" w:rsidRDefault="0091395B" w:rsidP="0091395B">
      <w:pPr>
        <w:rPr>
          <w:vertAlign w:val="subscript"/>
        </w:rPr>
      </w:pPr>
    </w:p>
    <w:p w:rsidR="0091395B" w:rsidRDefault="0091395B" w:rsidP="0091395B">
      <w:pPr>
        <w:rPr>
          <w:lang w:val="en-US"/>
        </w:rPr>
      </w:pPr>
      <m:oMath>
        <m:r>
          <m:rPr>
            <m:sty m:val="p"/>
          </m:rPr>
          <w:rPr>
            <w:rFonts w:ascii="Cambria Math" w:hAnsi="Cambria Math"/>
            <w:lang w:val="en-US"/>
          </w:rPr>
          <m:t>v</m:t>
        </m:r>
        <m:r>
          <m:rPr>
            <m:sty m:val="p"/>
          </m:rPr>
          <w:rPr>
            <w:rFonts w:ascii="Cambria Math" w:hAnsi="Cambria Math"/>
            <w:vertAlign w:val="subscript"/>
            <w:lang w:val="en-US"/>
          </w:rPr>
          <m:t>phase</m:t>
        </m:r>
        <m:r>
          <w:rPr>
            <w:rFonts w:ascii="Cambria Math" w:hAnsi="Cambria Math"/>
            <w:vertAlign w:val="subscript"/>
            <w:lang w:val="en-US"/>
          </w:rPr>
          <m:t>=</m:t>
        </m:r>
      </m:oMath>
      <w:r w:rsidRPr="0091395B">
        <w:rPr>
          <w:vertAlign w:val="subscript"/>
          <w:lang w:val="en-US"/>
        </w:rPr>
        <w:t xml:space="preserve"> </w:t>
      </w:r>
      <w:r w:rsidRPr="0091395B">
        <w:rPr>
          <w:lang w:val="en-US"/>
        </w:rPr>
        <w:t>omega/k=c </w:t>
      </w:r>
      <w:r>
        <w:rPr>
          <w:lang w:val="en-US"/>
        </w:rPr>
        <w:t>/</w:t>
      </w:r>
      <w:proofErr w:type="gramStart"/>
      <w:r w:rsidRPr="0091395B">
        <w:rPr>
          <w:lang w:val="en-US"/>
        </w:rPr>
        <w:t>s</w:t>
      </w:r>
      <w:r>
        <w:rPr>
          <w:lang w:val="en-US"/>
        </w:rPr>
        <w:t>qrt(</w:t>
      </w:r>
      <w:proofErr w:type="gramEnd"/>
      <w:r>
        <w:rPr>
          <w:lang w:val="en-US"/>
        </w:rPr>
        <w:t>1-f</w:t>
      </w:r>
      <w:r w:rsidRPr="0091395B">
        <w:rPr>
          <w:vertAlign w:val="subscript"/>
          <w:lang w:val="en-US"/>
        </w:rPr>
        <w:t>p</w:t>
      </w:r>
      <w:r w:rsidRPr="0091395B">
        <w:rPr>
          <w:vertAlign w:val="superscript"/>
          <w:lang w:val="en-US"/>
        </w:rPr>
        <w:t>2</w:t>
      </w:r>
      <w:r>
        <w:rPr>
          <w:lang w:val="en-US"/>
        </w:rPr>
        <w:t>/f</w:t>
      </w:r>
      <w:r w:rsidRPr="0091395B">
        <w:rPr>
          <w:vertAlign w:val="superscript"/>
          <w:lang w:val="en-US"/>
        </w:rPr>
        <w:t>2</w:t>
      </w:r>
      <w:r w:rsidRPr="0091395B">
        <w:rPr>
          <w:lang w:val="en-US"/>
        </w:rPr>
        <w:t xml:space="preserve"> )</w:t>
      </w:r>
    </w:p>
    <w:p w:rsidR="0091395B" w:rsidRDefault="0091395B" w:rsidP="0091395B">
      <w:pPr>
        <w:rPr>
          <w:lang w:val="en-US"/>
        </w:rPr>
      </w:pPr>
    </w:p>
    <w:p w:rsidR="0091395B" w:rsidRDefault="0091395B" w:rsidP="0091395B">
      <w:pPr>
        <w:rPr>
          <w:lang w:val="en-US"/>
        </w:rPr>
      </w:pPr>
    </w:p>
    <w:p w:rsidR="0091395B" w:rsidRDefault="0091395B" w:rsidP="0091395B">
      <w:pPr>
        <w:rPr>
          <w:lang w:val="en-US"/>
        </w:rPr>
      </w:pPr>
    </w:p>
    <w:p w:rsidR="0091395B" w:rsidRDefault="0091395B" w:rsidP="0091395B">
      <w:pPr>
        <w:pStyle w:val="Titre1"/>
      </w:pPr>
      <w:r w:rsidRPr="0091395B">
        <w:t>Comportement vis-à-vis d</w:t>
      </w:r>
      <w:r>
        <w:t>’une onde en incidence normale</w:t>
      </w:r>
    </w:p>
    <w:p w:rsidR="0091395B" w:rsidRDefault="0091395B" w:rsidP="0091395B"/>
    <w:p w:rsidR="0091395B" w:rsidRDefault="0091395B" w:rsidP="0091395B"/>
    <w:p w:rsidR="0091395B" w:rsidRDefault="0091395B" w:rsidP="0091395B">
      <w:pPr>
        <w:pStyle w:val="Titre2"/>
      </w:pPr>
      <w:r>
        <w:t>Calcul pour le maximum de densité électronique, soit je jour</w:t>
      </w:r>
    </w:p>
    <w:p w:rsidR="0091395B" w:rsidRDefault="0091395B" w:rsidP="0091395B"/>
    <w:p w:rsidR="0091395B" w:rsidRPr="00A049E1" w:rsidRDefault="0091395B" w:rsidP="0091395B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sin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 n2 sin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:rsidR="00A049E1" w:rsidRDefault="00A049E1" w:rsidP="0091395B">
      <w:pPr>
        <w:rPr>
          <w:rFonts w:eastAsiaTheme="minorEastAsia"/>
        </w:rPr>
      </w:pPr>
    </w:p>
    <w:p w:rsidR="00A049E1" w:rsidRDefault="00A049E1" w:rsidP="0091395B">
      <w:pPr>
        <w:rPr>
          <w:rFonts w:eastAsiaTheme="minorEastAsia"/>
        </w:rPr>
      </w:pPr>
      <w:r>
        <w:rPr>
          <w:rFonts w:eastAsiaTheme="minorEastAsia"/>
        </w:rPr>
        <w:t>N1=1</w:t>
      </w:r>
    </w:p>
    <w:p w:rsidR="00A049E1" w:rsidRDefault="00A049E1" w:rsidP="0091395B">
      <w:pPr>
        <w:rPr>
          <w:rFonts w:eastAsiaTheme="minorEastAsia"/>
        </w:rPr>
      </w:pPr>
      <w:r>
        <w:rPr>
          <w:rFonts w:eastAsiaTheme="minorEastAsia"/>
        </w:rPr>
        <w:t xml:space="preserve">Theta1=0   </w:t>
      </w:r>
      <w:r w:rsidRPr="00A049E1">
        <w:rPr>
          <w:rFonts w:eastAsiaTheme="minorEastAsia"/>
        </w:rPr>
        <w:sym w:font="Wingdings" w:char="F0E8"/>
      </w:r>
      <w:r>
        <w:rPr>
          <w:rFonts w:eastAsiaTheme="minorEastAsia"/>
        </w:rPr>
        <w:t xml:space="preserve"> theta2=0 il y a toujours transmission</w:t>
      </w:r>
    </w:p>
    <w:p w:rsidR="00A049E1" w:rsidRDefault="00A049E1" w:rsidP="0091395B">
      <w:pPr>
        <w:rPr>
          <w:rFonts w:eastAsiaTheme="minorEastAsia"/>
        </w:rPr>
      </w:pPr>
    </w:p>
    <w:p w:rsidR="00A049E1" w:rsidRPr="0091395B" w:rsidRDefault="00A049E1" w:rsidP="0091395B">
      <w:r>
        <w:rPr>
          <w:rFonts w:eastAsiaTheme="minorEastAsia"/>
        </w:rPr>
        <w:t xml:space="preserve">Et il faut que la </w:t>
      </w:r>
      <w:proofErr w:type="spellStart"/>
      <w:r>
        <w:rPr>
          <w:rFonts w:eastAsiaTheme="minorEastAsia"/>
        </w:rPr>
        <w:t>frequence</w:t>
      </w:r>
      <w:proofErr w:type="spellEnd"/>
      <w:r>
        <w:rPr>
          <w:rFonts w:eastAsiaTheme="minorEastAsia"/>
        </w:rPr>
        <w:t xml:space="preserve"> soit </w:t>
      </w:r>
      <w:proofErr w:type="spellStart"/>
      <w:r>
        <w:rPr>
          <w:rFonts w:eastAsiaTheme="minorEastAsia"/>
        </w:rPr>
        <w:t>superieure</w:t>
      </w:r>
      <w:proofErr w:type="spellEnd"/>
      <w:r>
        <w:rPr>
          <w:rFonts w:eastAsiaTheme="minorEastAsia"/>
        </w:rPr>
        <w:t xml:space="preserve"> à la </w:t>
      </w:r>
      <w:proofErr w:type="spellStart"/>
      <w:r>
        <w:rPr>
          <w:rFonts w:eastAsiaTheme="minorEastAsia"/>
        </w:rPr>
        <w:t>frequence</w:t>
      </w:r>
      <w:proofErr w:type="spellEnd"/>
      <w:r>
        <w:rPr>
          <w:rFonts w:eastAsiaTheme="minorEastAsia"/>
        </w:rPr>
        <w:t xml:space="preserve"> plasma (</w:t>
      </w:r>
      <w:proofErr w:type="spellStart"/>
      <w:r>
        <w:rPr>
          <w:rFonts w:eastAsiaTheme="minorEastAsia"/>
        </w:rPr>
        <w:t>frequence</w:t>
      </w:r>
      <w:proofErr w:type="spellEnd"/>
      <w:r>
        <w:rPr>
          <w:rFonts w:eastAsiaTheme="minorEastAsia"/>
        </w:rPr>
        <w:t xml:space="preserve"> de coupure).</w:t>
      </w:r>
    </w:p>
    <w:p w:rsidR="0091395B" w:rsidRDefault="0091395B" w:rsidP="0091395B"/>
    <w:p w:rsidR="0091395B" w:rsidRDefault="0091395B" w:rsidP="0091395B"/>
    <w:p w:rsidR="0091395B" w:rsidRDefault="0091395B" w:rsidP="0091395B">
      <w:pPr>
        <w:pStyle w:val="Titre1"/>
      </w:pPr>
      <w:proofErr w:type="spellStart"/>
      <w:r>
        <w:t>Reflexion</w:t>
      </w:r>
      <w:proofErr w:type="spellEnd"/>
      <w:r>
        <w:t xml:space="preserve"> sous incidence oblique</w:t>
      </w:r>
    </w:p>
    <w:p w:rsidR="00A049E1" w:rsidRDefault="00A049E1" w:rsidP="00A049E1"/>
    <w:p w:rsidR="00A049E1" w:rsidRDefault="00A049E1" w:rsidP="00A049E1"/>
    <w:p w:rsidR="00A049E1" w:rsidRDefault="00A049E1" w:rsidP="00A049E1">
      <w:r>
        <w:t xml:space="preserve">Pour une onde partant du </w:t>
      </w:r>
      <w:proofErr w:type="gramStart"/>
      <w:r>
        <w:t>sol ,</w:t>
      </w:r>
      <w:proofErr w:type="gramEnd"/>
      <w:r>
        <w:t xml:space="preserve"> les </w:t>
      </w:r>
      <w:r w:rsidR="008A6AF0">
        <w:t>fréquences</w:t>
      </w:r>
      <w:r>
        <w:t xml:space="preserve"> Plasma augmentent de </w:t>
      </w:r>
      <w:proofErr w:type="spellStart"/>
      <w:r>
        <w:t>qq</w:t>
      </w:r>
      <w:proofErr w:type="spellEnd"/>
      <w:r>
        <w:t xml:space="preserve"> KHz à plus de 10 MHz</w:t>
      </w:r>
    </w:p>
    <w:p w:rsidR="00A049E1" w:rsidRPr="00A049E1" w:rsidRDefault="00A049E1" w:rsidP="00A049E1">
      <w:r>
        <w:t>L’indice des couches de</w:t>
      </w:r>
      <w:r w:rsidR="008A6AF0">
        <w:t xml:space="preserve"> l’ionosphère décroit</w:t>
      </w:r>
      <w:r>
        <w:t xml:space="preserve">, donc l’angle de l’onde </w:t>
      </w:r>
      <w:r w:rsidR="008A6AF0">
        <w:t>réfractée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 par rapport à la normale augmente jusqu’à ce qu’il y ait </w:t>
      </w:r>
      <w:r w:rsidR="008A6AF0">
        <w:rPr>
          <w:rFonts w:eastAsiaTheme="minorEastAsia"/>
        </w:rPr>
        <w:t>réflexion</w:t>
      </w:r>
      <w:r>
        <w:rPr>
          <w:rFonts w:eastAsiaTheme="minorEastAsia"/>
        </w:rPr>
        <w:t xml:space="preserve"> (</w:t>
      </w:r>
      <w:proofErr w:type="spellStart"/>
      <w:r>
        <w:rPr>
          <w:rFonts w:eastAsiaTheme="minorEastAsia"/>
        </w:rPr>
        <w:t>Fig</w:t>
      </w:r>
      <w:proofErr w:type="spellEnd"/>
      <w:r>
        <w:rPr>
          <w:rFonts w:eastAsiaTheme="minorEastAsia"/>
        </w:rPr>
        <w:t xml:space="preserve"> 19.4 b)</w:t>
      </w:r>
    </w:p>
    <w:p w:rsidR="0091395B" w:rsidRPr="0091395B" w:rsidRDefault="0091395B" w:rsidP="0091395B"/>
    <w:p w:rsidR="0091395B" w:rsidRDefault="0091395B" w:rsidP="0091395B">
      <w:pPr>
        <w:pStyle w:val="Titre2"/>
      </w:pPr>
      <w:r>
        <w:t xml:space="preserve">Loi de </w:t>
      </w:r>
      <w:proofErr w:type="spellStart"/>
      <w:r>
        <w:t>Schnell</w:t>
      </w:r>
      <w:proofErr w:type="spellEnd"/>
      <w:r>
        <w:t xml:space="preserve"> </w:t>
      </w:r>
      <w:r w:rsidR="00A049E1">
        <w:t>–</w:t>
      </w:r>
      <w:r>
        <w:t xml:space="preserve"> Descartes</w:t>
      </w:r>
    </w:p>
    <w:p w:rsidR="00A049E1" w:rsidRDefault="00A049E1" w:rsidP="00A049E1"/>
    <w:p w:rsidR="00A049E1" w:rsidRPr="00A049E1" w:rsidRDefault="00A049E1" w:rsidP="00A049E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sin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 n2 sin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:rsidR="00A049E1" w:rsidRDefault="00A049E1" w:rsidP="00A049E1"/>
    <w:p w:rsidR="00A049E1" w:rsidRDefault="00A049E1" w:rsidP="00A049E1"/>
    <w:p w:rsidR="00A049E1" w:rsidRDefault="00A049E1" w:rsidP="00A049E1">
      <w:r>
        <w:t xml:space="preserve">Pour qu’il y ait transmission par </w:t>
      </w:r>
      <w:proofErr w:type="spellStart"/>
      <w:r>
        <w:t>refraction</w:t>
      </w:r>
      <w:proofErr w:type="spellEnd"/>
      <w:r>
        <w:t xml:space="preserve">, il faut que </w:t>
      </w:r>
    </w:p>
    <w:p w:rsidR="00A049E1" w:rsidRDefault="00A049E1" w:rsidP="00A049E1"/>
    <w:p w:rsidR="00A049E1" w:rsidRPr="00A049E1" w:rsidRDefault="00A049E1" w:rsidP="00A049E1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1   ≤</m:t>
                  </m:r>
                </m:sub>
              </m:sSub>
              <m:r>
                <w:rPr>
                  <w:rFonts w:ascii="Cambria Math" w:hAnsi="Cambria Math"/>
                </w:rPr>
                <m:t xml:space="preserve">  n</m:t>
              </m:r>
            </m:e>
          </m:func>
        </m:oMath>
      </m:oMathPara>
    </w:p>
    <w:p w:rsidR="00A049E1" w:rsidRDefault="00A049E1" w:rsidP="00A049E1">
      <w:pPr>
        <w:rPr>
          <w:rFonts w:eastAsiaTheme="minorEastAsia"/>
        </w:rPr>
      </w:pPr>
    </w:p>
    <w:p w:rsidR="00A049E1" w:rsidRDefault="00A049E1" w:rsidP="00A049E1">
      <w:pPr>
        <w:rPr>
          <w:rFonts w:eastAsiaTheme="minorEastAsia"/>
        </w:rPr>
      </w:pPr>
    </w:p>
    <w:p w:rsidR="00A049E1" w:rsidRDefault="00A049E1" w:rsidP="00A049E1">
      <w:pPr>
        <w:pStyle w:val="Paragraphedeliste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F&lt;</w:t>
      </w:r>
      <w:proofErr w:type="spellStart"/>
      <w:r>
        <w:rPr>
          <w:rFonts w:eastAsiaTheme="minorEastAsia"/>
        </w:rPr>
        <w:t>Fp</w:t>
      </w:r>
      <w:proofErr w:type="spellEnd"/>
      <w:r>
        <w:rPr>
          <w:rFonts w:eastAsiaTheme="minorEastAsia"/>
        </w:rPr>
        <w:t xml:space="preserve">, l’indice de réfraction devient imaginaire, l’onde ne peut pas se propager, elle est donc absorbée (onde perdue car pas </w:t>
      </w:r>
      <w:r w:rsidR="008A6AF0">
        <w:rPr>
          <w:rFonts w:eastAsiaTheme="minorEastAsia"/>
        </w:rPr>
        <w:t>réfléchie</w:t>
      </w:r>
      <w:r>
        <w:rPr>
          <w:rFonts w:eastAsiaTheme="minorEastAsia"/>
        </w:rPr>
        <w:t>)</w:t>
      </w:r>
    </w:p>
    <w:p w:rsidR="00A049E1" w:rsidRDefault="00A049E1" w:rsidP="00A049E1">
      <w:pPr>
        <w:pStyle w:val="Paragraphedeliste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F&gt;</w:t>
      </w:r>
      <w:proofErr w:type="spellStart"/>
      <w:r>
        <w:rPr>
          <w:rFonts w:eastAsiaTheme="minorEastAsia"/>
        </w:rPr>
        <w:t>Fp</w:t>
      </w:r>
      <w:proofErr w:type="spellEnd"/>
    </w:p>
    <w:p w:rsidR="00A049E1" w:rsidRPr="00A049E1" w:rsidRDefault="00A049E1" w:rsidP="00A049E1">
      <w:pPr>
        <w:pStyle w:val="Paragraphedeliste"/>
        <w:numPr>
          <w:ilvl w:val="1"/>
          <w:numId w:val="4"/>
        </w:numPr>
        <w:rPr>
          <w:rFonts w:eastAsiaTheme="minorEastAsia"/>
        </w:r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1   ≤</m:t>
                </m:r>
              </m:sub>
            </m:sSub>
            <m:r>
              <w:rPr>
                <w:rFonts w:ascii="Cambria Math" w:hAnsi="Cambria Math"/>
              </w:rPr>
              <m:t xml:space="preserve">  n</m:t>
            </m:r>
            <m:r>
              <w:rPr>
                <w:rFonts w:ascii="Cambria Math" w:hAnsi="Cambria Math"/>
              </w:rPr>
              <m:t>2</m:t>
            </m:r>
          </m:e>
        </m:func>
      </m:oMath>
      <w:r>
        <w:rPr>
          <w:rFonts w:eastAsiaTheme="minorEastAsia"/>
        </w:rPr>
        <w:t> : alors l’onde est réfractée donc transmise dans la couche supérieure</w:t>
      </w:r>
    </w:p>
    <w:p w:rsidR="00A049E1" w:rsidRDefault="00A049E1" w:rsidP="00A049E1">
      <w:pPr>
        <w:pStyle w:val="Paragraphedeliste"/>
        <w:numPr>
          <w:ilvl w:val="1"/>
          <w:numId w:val="4"/>
        </w:numPr>
        <w:rPr>
          <w:rFonts w:eastAsiaTheme="minorEastAsia"/>
        </w:r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 xml:space="preserve">1   </m:t>
                </m:r>
              </m:sub>
            </m:sSub>
            <m:r>
              <w:rPr>
                <w:rFonts w:ascii="Cambria Math" w:hAnsi="Cambria Math"/>
              </w:rPr>
              <m:t>&gt;</m:t>
            </m:r>
            <m:r>
              <w:rPr>
                <w:rFonts w:ascii="Cambria Math" w:hAnsi="Cambria Math"/>
              </w:rPr>
              <m:t xml:space="preserve">  n</m:t>
            </m:r>
          </m:e>
        </m:func>
        <m:r>
          <w:rPr>
            <w:rFonts w:ascii="Cambria Math" w:hAnsi="Cambria Math"/>
          </w:rPr>
          <m:t>2</m:t>
        </m:r>
      </m:oMath>
      <w:r>
        <w:rPr>
          <w:rFonts w:eastAsiaTheme="minorEastAsia"/>
        </w:rPr>
        <w:t> </w:t>
      </w:r>
      <w:r>
        <w:rPr>
          <w:rFonts w:eastAsiaTheme="minorEastAsia"/>
        </w:rPr>
        <w:t xml:space="preserve">  : l’onde est réfléchie par la couche supérieure. Dans ce cas l’onde est renvoyée vers le sol. Il y a réflexion multiple comme dans une lame mince (</w:t>
      </w:r>
      <w:proofErr w:type="gramStart"/>
      <w:r>
        <w:rPr>
          <w:rFonts w:eastAsiaTheme="minorEastAsia"/>
        </w:rPr>
        <w:t>d’indice  n</w:t>
      </w:r>
      <w:proofErr w:type="gramEnd"/>
      <w:r>
        <w:rPr>
          <w:rFonts w:eastAsiaTheme="minorEastAsia"/>
        </w:rPr>
        <w:t xml:space="preserve"> &gt; 1 )</w:t>
      </w:r>
    </w:p>
    <w:p w:rsidR="00A049E1" w:rsidRPr="00A049E1" w:rsidRDefault="00A049E1" w:rsidP="00A049E1">
      <w:pPr>
        <w:pStyle w:val="Titre2"/>
        <w:rPr>
          <w:rFonts w:eastAsiaTheme="minorEastAsia"/>
        </w:rPr>
      </w:pPr>
    </w:p>
    <w:p w:rsidR="00A049E1" w:rsidRPr="00A049E1" w:rsidRDefault="00A049E1" w:rsidP="00A049E1">
      <w:r w:rsidRPr="00A049E1">
        <w:drawing>
          <wp:inline distT="0" distB="0" distL="0" distR="0" wp14:anchorId="44836DBF" wp14:editId="21A17F24">
            <wp:extent cx="5268286" cy="4783064"/>
            <wp:effectExtent l="0" t="0" r="2540" b="508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963" cy="478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9E1" w:rsidRDefault="00A049E1" w:rsidP="00A049E1"/>
    <w:p w:rsidR="00A049E1" w:rsidRPr="00A049E1" w:rsidRDefault="00A049E1" w:rsidP="00A049E1"/>
    <w:p w:rsidR="0091395B" w:rsidRPr="0091395B" w:rsidRDefault="0091395B" w:rsidP="0091395B"/>
    <w:p w:rsidR="0091395B" w:rsidRDefault="00A049E1" w:rsidP="00A049E1">
      <w:pPr>
        <w:pStyle w:val="Titre1"/>
      </w:pPr>
      <w:r>
        <w:t>Application aux télécommunications :</w:t>
      </w:r>
    </w:p>
    <w:p w:rsidR="00A049E1" w:rsidRDefault="00A049E1" w:rsidP="00A049E1">
      <w:pPr>
        <w:pStyle w:val="Titre2"/>
      </w:pPr>
    </w:p>
    <w:p w:rsidR="00A049E1" w:rsidRDefault="00A049E1" w:rsidP="00A049E1"/>
    <w:p w:rsidR="00A049E1" w:rsidRDefault="00A049E1" w:rsidP="00A049E1">
      <w:r>
        <w:t xml:space="preserve">Les grandes ondes </w:t>
      </w:r>
      <w:proofErr w:type="gramStart"/>
      <w:r>
        <w:t>( bande</w:t>
      </w:r>
      <w:proofErr w:type="gramEnd"/>
      <w:r>
        <w:t xml:space="preserve"> GO) sont </w:t>
      </w:r>
      <w:proofErr w:type="spellStart"/>
      <w:r>
        <w:t>reflechies</w:t>
      </w:r>
      <w:proofErr w:type="spellEnd"/>
      <w:r>
        <w:t xml:space="preserve"> sur la couche D (F</w:t>
      </w:r>
      <w:r w:rsidRPr="00A049E1">
        <w:rPr>
          <w:vertAlign w:val="subscript"/>
        </w:rPr>
        <w:t>P</w:t>
      </w:r>
      <w:r>
        <w:t>= 284 kHz).</w:t>
      </w:r>
    </w:p>
    <w:p w:rsidR="00A049E1" w:rsidRDefault="00A049E1" w:rsidP="00A049E1">
      <w:r>
        <w:t xml:space="preserve">La modulation </w:t>
      </w:r>
      <w:proofErr w:type="spellStart"/>
      <w:r>
        <w:t>frequence</w:t>
      </w:r>
      <w:proofErr w:type="spellEnd"/>
      <w:r>
        <w:t xml:space="preserve"> (FM) peut être </w:t>
      </w:r>
      <w:proofErr w:type="spellStart"/>
      <w:r>
        <w:t>reflechie</w:t>
      </w:r>
      <w:proofErr w:type="spellEnd"/>
      <w:r>
        <w:t xml:space="preserve"> sur la couche F (</w:t>
      </w:r>
      <w:r>
        <w:t>F</w:t>
      </w:r>
      <w:r w:rsidRPr="00A049E1">
        <w:rPr>
          <w:vertAlign w:val="subscript"/>
        </w:rPr>
        <w:t>P</w:t>
      </w:r>
      <w:r>
        <w:t xml:space="preserve">= </w:t>
      </w:r>
      <w:r>
        <w:t>12</w:t>
      </w:r>
      <w:r>
        <w:t xml:space="preserve"> </w:t>
      </w:r>
      <w:r>
        <w:t>M</w:t>
      </w:r>
      <w:r>
        <w:t>Hz</w:t>
      </w:r>
      <w:r>
        <w:t>) pour un angle alpha convenable.</w:t>
      </w:r>
    </w:p>
    <w:p w:rsidR="00A049E1" w:rsidRDefault="00A049E1" w:rsidP="00A049E1"/>
    <w:p w:rsidR="00A049E1" w:rsidRDefault="00A049E1" w:rsidP="00A049E1">
      <w:r>
        <w:t>Du coup les FM ont une plus longue portée que les GO.</w:t>
      </w:r>
    </w:p>
    <w:p w:rsidR="00A049E1" w:rsidRDefault="00A049E1" w:rsidP="00A049E1"/>
    <w:p w:rsidR="00A049E1" w:rsidRDefault="00A049E1" w:rsidP="00A049E1">
      <w:r>
        <w:t>La bande FM est celle utilisée pour transmettre la musique, pas les GO. C’est pour cela que la bande GO est sensible aux parasites (je ne sais pas pourquoi).</w:t>
      </w:r>
    </w:p>
    <w:p w:rsidR="00A049E1" w:rsidRDefault="00A049E1" w:rsidP="00A049E1"/>
    <w:p w:rsidR="00A049E1" w:rsidRDefault="00A049E1" w:rsidP="00A049E1">
      <w:pPr>
        <w:pStyle w:val="Titre2"/>
      </w:pPr>
    </w:p>
    <w:p w:rsidR="00A049E1" w:rsidRDefault="00A049E1" w:rsidP="00A049E1"/>
    <w:p w:rsidR="00A049E1" w:rsidRDefault="00A049E1" w:rsidP="00A049E1">
      <w:r>
        <w:t xml:space="preserve">L’onde de Marconi aurait pu se </w:t>
      </w:r>
      <w:proofErr w:type="spellStart"/>
      <w:r>
        <w:t>reflechir</w:t>
      </w:r>
      <w:proofErr w:type="spellEnd"/>
      <w:r>
        <w:t xml:space="preserve"> sur la couche D pour</w:t>
      </w:r>
    </w:p>
    <w:p w:rsidR="00A049E1" w:rsidRDefault="00A049E1" w:rsidP="00A049E1"/>
    <w:p w:rsidR="00A049E1" w:rsidRDefault="00A049E1" w:rsidP="00A049E1">
      <w:r>
        <w:lastRenderedPageBreak/>
        <w:t>Sin Alpha = (F</w:t>
      </w:r>
      <w:r w:rsidRPr="00A049E1">
        <w:rPr>
          <w:vertAlign w:val="subscript"/>
        </w:rPr>
        <w:t>P</w:t>
      </w:r>
      <w:r>
        <w:t>)</w:t>
      </w:r>
      <w:r w:rsidRPr="00A049E1">
        <w:rPr>
          <w:vertAlign w:val="subscript"/>
        </w:rPr>
        <w:t>D</w:t>
      </w:r>
      <w:r>
        <w:t>/F. = 284kHz/ 312 kHz</w:t>
      </w:r>
    </w:p>
    <w:p w:rsidR="00A049E1" w:rsidRDefault="00A049E1" w:rsidP="00A049E1"/>
    <w:p w:rsidR="00A049E1" w:rsidRDefault="00A049E1" w:rsidP="00A049E1">
      <w:r>
        <w:t>Alpha = 65.5°</w:t>
      </w:r>
    </w:p>
    <w:p w:rsidR="00A049E1" w:rsidRDefault="00A049E1" w:rsidP="00A049E1"/>
    <w:p w:rsidR="00A049E1" w:rsidRDefault="00A049E1" w:rsidP="00A049E1"/>
    <w:p w:rsidR="00A049E1" w:rsidRDefault="00A049E1" w:rsidP="00A049E1">
      <w:pPr>
        <w:pStyle w:val="Titre2"/>
      </w:pPr>
    </w:p>
    <w:p w:rsidR="00921E82" w:rsidRDefault="00921E82" w:rsidP="00921E82"/>
    <w:p w:rsidR="00921E82" w:rsidRDefault="00921E82" w:rsidP="00921E82">
      <w:r>
        <w:t xml:space="preserve">Couche E : </w:t>
      </w:r>
      <w:proofErr w:type="spellStart"/>
      <w:r>
        <w:t>Fp</w:t>
      </w:r>
      <w:proofErr w:type="spellEnd"/>
      <w:r w:rsidR="008A6AF0">
        <w:t>-max</w:t>
      </w:r>
      <w:r>
        <w:t>=2.84 Mhz</w:t>
      </w:r>
      <w:r w:rsidR="008A6AF0">
        <w:t>. (</w:t>
      </w:r>
      <w:proofErr w:type="gramStart"/>
      <w:r w:rsidR="008A6AF0">
        <w:t>jour</w:t>
      </w:r>
      <w:proofErr w:type="gramEnd"/>
      <w:r w:rsidR="008A6AF0">
        <w:t>)</w:t>
      </w:r>
    </w:p>
    <w:p w:rsidR="00921E82" w:rsidRDefault="00921E82" w:rsidP="00921E82"/>
    <w:p w:rsidR="00921E82" w:rsidRDefault="00921E82" w:rsidP="00921E82">
      <w:r>
        <w:t xml:space="preserve">La couche E </w:t>
      </w:r>
      <w:r w:rsidR="008A6AF0">
        <w:t xml:space="preserve">est </w:t>
      </w:r>
      <w:r>
        <w:t xml:space="preserve">sensible à la </w:t>
      </w:r>
      <w:proofErr w:type="spellStart"/>
      <w:r>
        <w:t>difference</w:t>
      </w:r>
      <w:proofErr w:type="spellEnd"/>
      <w:r>
        <w:t xml:space="preserve"> jour/nuit. </w:t>
      </w:r>
    </w:p>
    <w:p w:rsidR="00A049E1" w:rsidRDefault="00A049E1" w:rsidP="00A049E1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264"/>
        <w:gridCol w:w="2264"/>
        <w:gridCol w:w="2264"/>
        <w:gridCol w:w="2264"/>
      </w:tblGrid>
      <w:tr w:rsidR="00A049E1" w:rsidTr="00A049E1">
        <w:tc>
          <w:tcPr>
            <w:tcW w:w="2264" w:type="dxa"/>
          </w:tcPr>
          <w:p w:rsidR="00A049E1" w:rsidRDefault="00A049E1" w:rsidP="00A049E1">
            <w:proofErr w:type="gramStart"/>
            <w:r>
              <w:t>lambda</w:t>
            </w:r>
            <w:proofErr w:type="gramEnd"/>
          </w:p>
        </w:tc>
        <w:tc>
          <w:tcPr>
            <w:tcW w:w="2264" w:type="dxa"/>
          </w:tcPr>
          <w:p w:rsidR="00A049E1" w:rsidRDefault="00A049E1" w:rsidP="00A049E1">
            <w:r>
              <w:t>80 m</w:t>
            </w:r>
          </w:p>
        </w:tc>
        <w:tc>
          <w:tcPr>
            <w:tcW w:w="2264" w:type="dxa"/>
          </w:tcPr>
          <w:p w:rsidR="00A049E1" w:rsidRDefault="00A049E1" w:rsidP="00A049E1">
            <w:r>
              <w:t>60 m</w:t>
            </w:r>
          </w:p>
        </w:tc>
        <w:tc>
          <w:tcPr>
            <w:tcW w:w="2264" w:type="dxa"/>
          </w:tcPr>
          <w:p w:rsidR="00A049E1" w:rsidRDefault="00A049E1" w:rsidP="00A049E1">
            <w:r>
              <w:t>40 m</w:t>
            </w:r>
          </w:p>
        </w:tc>
      </w:tr>
      <w:tr w:rsidR="00A049E1" w:rsidTr="00A049E1">
        <w:tc>
          <w:tcPr>
            <w:tcW w:w="2264" w:type="dxa"/>
          </w:tcPr>
          <w:p w:rsidR="00A049E1" w:rsidRDefault="00A049E1" w:rsidP="00A049E1">
            <w:proofErr w:type="spellStart"/>
            <w:proofErr w:type="gramStart"/>
            <w:r>
              <w:t>frequence</w:t>
            </w:r>
            <w:proofErr w:type="spellEnd"/>
            <w:proofErr w:type="gramEnd"/>
          </w:p>
        </w:tc>
        <w:tc>
          <w:tcPr>
            <w:tcW w:w="2264" w:type="dxa"/>
          </w:tcPr>
          <w:p w:rsidR="00A049E1" w:rsidRDefault="00A049E1" w:rsidP="00A049E1">
            <w:r>
              <w:t>1.25 Mhz</w:t>
            </w:r>
          </w:p>
        </w:tc>
        <w:tc>
          <w:tcPr>
            <w:tcW w:w="2264" w:type="dxa"/>
          </w:tcPr>
          <w:p w:rsidR="00A049E1" w:rsidRDefault="00203946" w:rsidP="00A049E1">
            <w:r>
              <w:t>1.6 Mhz</w:t>
            </w:r>
          </w:p>
        </w:tc>
        <w:tc>
          <w:tcPr>
            <w:tcW w:w="2264" w:type="dxa"/>
          </w:tcPr>
          <w:p w:rsidR="00A049E1" w:rsidRDefault="00203946" w:rsidP="00A049E1">
            <w:r>
              <w:t>2.</w:t>
            </w:r>
            <w:r w:rsidR="002D41E5">
              <w:t>5</w:t>
            </w:r>
            <w:r>
              <w:t xml:space="preserve"> MHz</w:t>
            </w:r>
          </w:p>
        </w:tc>
      </w:tr>
    </w:tbl>
    <w:p w:rsidR="00A049E1" w:rsidRPr="00A049E1" w:rsidRDefault="00A049E1" w:rsidP="00A049E1"/>
    <w:p w:rsidR="00A049E1" w:rsidRDefault="008A6AF0" w:rsidP="00A049E1">
      <w:r>
        <w:t>Les ondes des radio amateurs sont réfléchies sur la couche E.</w:t>
      </w:r>
    </w:p>
    <w:p w:rsidR="008A6AF0" w:rsidRPr="00A049E1" w:rsidRDefault="008A6AF0" w:rsidP="00A049E1">
      <w:r>
        <w:t>Théoriquement les distances de transmission sont plus grandes que pour les ondes de la radio TSF.</w:t>
      </w:r>
    </w:p>
    <w:p w:rsidR="00A049E1" w:rsidRDefault="00A049E1" w:rsidP="00A049E1"/>
    <w:p w:rsidR="00A049E1" w:rsidRPr="00A049E1" w:rsidRDefault="00A049E1" w:rsidP="00A049E1"/>
    <w:p w:rsidR="0091395B" w:rsidRDefault="008A6AF0" w:rsidP="0091395B">
      <w:proofErr w:type="spellStart"/>
      <w:r>
        <w:t>Omegap</w:t>
      </w:r>
      <w:proofErr w:type="spellEnd"/>
      <w:r>
        <w:t>=</w:t>
      </w:r>
      <w:proofErr w:type="spellStart"/>
      <w:proofErr w:type="gramStart"/>
      <w:r>
        <w:t>sqrt</w:t>
      </w:r>
      <w:proofErr w:type="spellEnd"/>
      <w:r>
        <w:t>(</w:t>
      </w:r>
      <w:proofErr w:type="gramEnd"/>
      <w:r>
        <w:t>ne</w:t>
      </w:r>
      <w:r w:rsidRPr="008A6AF0">
        <w:rPr>
          <w:vertAlign w:val="superscript"/>
        </w:rPr>
        <w:t>2</w:t>
      </w:r>
      <w:r>
        <w:t>/(epsilon0 m))</w:t>
      </w:r>
    </w:p>
    <w:p w:rsidR="008A6AF0" w:rsidRDefault="008A6AF0" w:rsidP="0091395B"/>
    <w:p w:rsidR="008A6AF0" w:rsidRDefault="008A6AF0" w:rsidP="0091395B">
      <w:r>
        <w:t xml:space="preserve">La </w:t>
      </w:r>
      <w:proofErr w:type="gramStart"/>
      <w:r>
        <w:t>nuit ,</w:t>
      </w:r>
      <w:proofErr w:type="gramEnd"/>
      <w:r>
        <w:t xml:space="preserve">  n chute d’un facteur 100, donc (</w:t>
      </w:r>
      <w:proofErr w:type="spellStart"/>
      <w:r>
        <w:t>F</w:t>
      </w:r>
      <w:r w:rsidRPr="008A6AF0">
        <w:rPr>
          <w:vertAlign w:val="subscript"/>
        </w:rPr>
        <w:t>p</w:t>
      </w:r>
      <w:proofErr w:type="spellEnd"/>
      <w:r>
        <w:t>)</w:t>
      </w:r>
      <w:r w:rsidRPr="008A6AF0">
        <w:rPr>
          <w:vertAlign w:val="subscript"/>
        </w:rPr>
        <w:t>E</w:t>
      </w:r>
      <w:r>
        <w:rPr>
          <w:vertAlign w:val="subscript"/>
        </w:rPr>
        <w:t xml:space="preserve">.  </w:t>
      </w:r>
      <w:proofErr w:type="gramStart"/>
      <w:r>
        <w:t>diminue</w:t>
      </w:r>
      <w:proofErr w:type="gramEnd"/>
      <w:r>
        <w:t xml:space="preserve"> d’un facteur 10.</w:t>
      </w:r>
    </w:p>
    <w:p w:rsidR="008A6AF0" w:rsidRDefault="008A6AF0" w:rsidP="0091395B">
      <w:r>
        <w:t>Ces ondes sont plus absorbées la nuit.</w:t>
      </w:r>
    </w:p>
    <w:p w:rsidR="008A6AF0" w:rsidRDefault="008A6AF0" w:rsidP="0091395B"/>
    <w:p w:rsidR="008A6AF0" w:rsidRDefault="008A6AF0" w:rsidP="0091395B"/>
    <w:p w:rsidR="008A6AF0" w:rsidRDefault="008A6AF0" w:rsidP="0091395B"/>
    <w:p w:rsidR="008A6AF0" w:rsidRDefault="008A6AF0" w:rsidP="008A6AF0">
      <w:pPr>
        <w:pStyle w:val="Titre2"/>
      </w:pPr>
    </w:p>
    <w:p w:rsidR="008A6AF0" w:rsidRDefault="008A6AF0" w:rsidP="008A6AF0"/>
    <w:p w:rsidR="008A6AF0" w:rsidRDefault="008A6AF0" w:rsidP="008A6AF0">
      <w:r>
        <w:t>L’indice de l’ionosphère est inférieur à 1.</w:t>
      </w:r>
    </w:p>
    <w:p w:rsidR="008A6AF0" w:rsidRDefault="008A6AF0" w:rsidP="008A6AF0">
      <w:r>
        <w:t xml:space="preserve">La vitesse de phase de l’onde est c/n &gt; </w:t>
      </w:r>
      <w:proofErr w:type="gramStart"/>
      <w:r>
        <w:t>c .</w:t>
      </w:r>
      <w:proofErr w:type="gramEnd"/>
    </w:p>
    <w:p w:rsidR="008A6AF0" w:rsidRDefault="008A6AF0" w:rsidP="008A6AF0">
      <w:r>
        <w:t>Il y a donc une erreur d =c/n*Delta t</w:t>
      </w:r>
    </w:p>
    <w:p w:rsidR="008A6AF0" w:rsidRDefault="008A6AF0" w:rsidP="008A6AF0">
      <w:r>
        <w:t>On surestime la distance.</w:t>
      </w:r>
    </w:p>
    <w:p w:rsidR="008A6AF0" w:rsidRDefault="008A6AF0" w:rsidP="008A6AF0"/>
    <w:p w:rsidR="008A6AF0" w:rsidRDefault="008A6AF0" w:rsidP="008A6AF0"/>
    <w:p w:rsidR="008A6AF0" w:rsidRDefault="008A6AF0" w:rsidP="008A6AF0">
      <w:pPr>
        <w:pStyle w:val="Titre2"/>
      </w:pPr>
    </w:p>
    <w:p w:rsidR="008A6AF0" w:rsidRDefault="008A6AF0" w:rsidP="008A6AF0"/>
    <w:p w:rsidR="008A6AF0" w:rsidRPr="008A6AF0" w:rsidRDefault="008A6AF0" w:rsidP="008A6AF0">
      <w:r>
        <w:t>Voir le tableau</w:t>
      </w:r>
    </w:p>
    <w:p w:rsidR="008A6AF0" w:rsidRDefault="008A6AF0" w:rsidP="008A6AF0"/>
    <w:p w:rsidR="008A6AF0" w:rsidRPr="008A6AF0" w:rsidRDefault="008A6AF0" w:rsidP="008A6AF0"/>
    <w:p w:rsidR="008A6AF0" w:rsidRDefault="008A6AF0" w:rsidP="0091395B"/>
    <w:p w:rsidR="008A6AF0" w:rsidRPr="008A6AF0" w:rsidRDefault="008A6AF0" w:rsidP="0091395B"/>
    <w:p w:rsidR="0091395B" w:rsidRPr="0091395B" w:rsidRDefault="0091395B" w:rsidP="0091395B"/>
    <w:p w:rsidR="0091395B" w:rsidRPr="0091395B" w:rsidRDefault="0091395B" w:rsidP="0091395B"/>
    <w:sectPr w:rsidR="0091395B" w:rsidRPr="0091395B" w:rsidSect="002B785C">
      <w:footerReference w:type="even" r:id="rId9"/>
      <w:footerReference w:type="default" r:id="rId1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F63FE" w:rsidRDefault="007F63FE" w:rsidP="005C20B3">
      <w:r>
        <w:separator/>
      </w:r>
    </w:p>
  </w:endnote>
  <w:endnote w:type="continuationSeparator" w:id="0">
    <w:p w:rsidR="007F63FE" w:rsidRDefault="007F63FE" w:rsidP="005C20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altName w:val="Symbol"/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-835685488"/>
      <w:docPartObj>
        <w:docPartGallery w:val="Page Numbers (Bottom of Page)"/>
        <w:docPartUnique/>
      </w:docPartObj>
    </w:sdtPr>
    <w:sdtContent>
      <w:p w:rsidR="005C20B3" w:rsidRDefault="005C20B3" w:rsidP="000856EE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5C20B3" w:rsidRDefault="005C20B3" w:rsidP="005C20B3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Numrodepage"/>
      </w:rPr>
      <w:id w:val="-1501113670"/>
      <w:docPartObj>
        <w:docPartGallery w:val="Page Numbers (Bottom of Page)"/>
        <w:docPartUnique/>
      </w:docPartObj>
    </w:sdtPr>
    <w:sdtContent>
      <w:p w:rsidR="005C20B3" w:rsidRDefault="005C20B3" w:rsidP="000856EE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1</w:t>
        </w:r>
        <w:r>
          <w:rPr>
            <w:rStyle w:val="Numrodepage"/>
          </w:rPr>
          <w:fldChar w:fldCharType="end"/>
        </w:r>
      </w:p>
    </w:sdtContent>
  </w:sdt>
  <w:p w:rsidR="005C20B3" w:rsidRDefault="005C20B3" w:rsidP="005C20B3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F63FE" w:rsidRDefault="007F63FE" w:rsidP="005C20B3">
      <w:r>
        <w:separator/>
      </w:r>
    </w:p>
  </w:footnote>
  <w:footnote w:type="continuationSeparator" w:id="0">
    <w:p w:rsidR="007F63FE" w:rsidRDefault="007F63FE" w:rsidP="005C20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CE078A"/>
    <w:multiLevelType w:val="hybridMultilevel"/>
    <w:tmpl w:val="38E86850"/>
    <w:lvl w:ilvl="0" w:tplc="20445626">
      <w:start w:val="1"/>
      <w:numFmt w:val="decimal"/>
      <w:pStyle w:val="Titre2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370916"/>
    <w:multiLevelType w:val="hybridMultilevel"/>
    <w:tmpl w:val="90CA0F4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9B13B3"/>
    <w:multiLevelType w:val="hybridMultilevel"/>
    <w:tmpl w:val="C4D6DD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1E3D79"/>
    <w:multiLevelType w:val="hybridMultilevel"/>
    <w:tmpl w:val="5F18AFD0"/>
    <w:lvl w:ilvl="0" w:tplc="594E9398">
      <w:start w:val="1"/>
      <w:numFmt w:val="upperRoman"/>
      <w:pStyle w:val="Titre1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7FD"/>
    <w:rsid w:val="00203946"/>
    <w:rsid w:val="002B785C"/>
    <w:rsid w:val="002D41E5"/>
    <w:rsid w:val="003B3B8B"/>
    <w:rsid w:val="005C20B3"/>
    <w:rsid w:val="007F63FE"/>
    <w:rsid w:val="00827666"/>
    <w:rsid w:val="008A6AF0"/>
    <w:rsid w:val="0091395B"/>
    <w:rsid w:val="00921E82"/>
    <w:rsid w:val="00A049E1"/>
    <w:rsid w:val="00A26ACE"/>
    <w:rsid w:val="00CD0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125CAF91"/>
  <w15:chartTrackingRefBased/>
  <w15:docId w15:val="{3F4A7C0C-2B69-7A43-9CC4-A25392C4D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CD07FD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CD07FD"/>
    <w:pPr>
      <w:keepNext/>
      <w:keepLines/>
      <w:numPr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CD07F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CD07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CD07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CD07F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Textedelespacerserv">
    <w:name w:val="Placeholder Text"/>
    <w:basedOn w:val="Policepardfaut"/>
    <w:uiPriority w:val="99"/>
    <w:semiHidden/>
    <w:rsid w:val="00CD07FD"/>
    <w:rPr>
      <w:color w:val="808080"/>
    </w:rPr>
  </w:style>
  <w:style w:type="table" w:styleId="Grilledutableau">
    <w:name w:val="Table Grid"/>
    <w:basedOn w:val="TableauNormal"/>
    <w:uiPriority w:val="39"/>
    <w:rsid w:val="00A26A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91395B"/>
    <w:pPr>
      <w:ind w:left="720"/>
      <w:contextualSpacing/>
    </w:pPr>
  </w:style>
  <w:style w:type="paragraph" w:styleId="Pieddepage">
    <w:name w:val="footer"/>
    <w:basedOn w:val="Normal"/>
    <w:link w:val="PieddepageCar"/>
    <w:uiPriority w:val="99"/>
    <w:unhideWhenUsed/>
    <w:rsid w:val="005C20B3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5C20B3"/>
  </w:style>
  <w:style w:type="character" w:styleId="Numrodepage">
    <w:name w:val="page number"/>
    <w:basedOn w:val="Policepardfaut"/>
    <w:uiPriority w:val="99"/>
    <w:semiHidden/>
    <w:unhideWhenUsed/>
    <w:rsid w:val="005C20B3"/>
  </w:style>
  <w:style w:type="paragraph" w:styleId="Textedebulles">
    <w:name w:val="Balloon Text"/>
    <w:basedOn w:val="Normal"/>
    <w:link w:val="TextedebullesCar"/>
    <w:uiPriority w:val="99"/>
    <w:semiHidden/>
    <w:unhideWhenUsed/>
    <w:rsid w:val="003B3B8B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B3B8B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628</Words>
  <Characters>3454</Characters>
  <Application>Microsoft Office Word</Application>
  <DocSecurity>0</DocSecurity>
  <Lines>28</Lines>
  <Paragraphs>8</Paragraphs>
  <ScaleCrop>false</ScaleCrop>
  <Company/>
  <LinksUpToDate>false</LinksUpToDate>
  <CharactersWithSpaces>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cp:lastPrinted>2020-12-05T17:42:00Z</cp:lastPrinted>
  <dcterms:created xsi:type="dcterms:W3CDTF">2020-12-05T23:16:00Z</dcterms:created>
  <dcterms:modified xsi:type="dcterms:W3CDTF">2020-12-05T23:16:00Z</dcterms:modified>
</cp:coreProperties>
</file>